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1.1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480" w:lineRule="exact"/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上海老年人中级程度钢琴比赛规定曲目及自选曲目建议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b/>
          <w:bCs/>
          <w:sz w:val="10"/>
          <w:szCs w:val="10"/>
        </w:rPr>
      </w:pPr>
    </w:p>
    <w:p w:rsidR="00EC3B87" w:rsidRPr="007D2071" w:rsidRDefault="00EC3B87" w:rsidP="007D2071">
      <w:pPr>
        <w:pStyle w:val="NormalWeb"/>
        <w:widowControl/>
        <w:spacing w:beforeAutospacing="0" w:afterAutospacing="0" w:line="480" w:lineRule="exact"/>
        <w:ind w:left="31680" w:hangingChars="200" w:firstLine="31680"/>
        <w:jc w:val="both"/>
        <w:rPr>
          <w:rFonts w:ascii="宋体" w:cs="宋体"/>
          <w:sz w:val="28"/>
          <w:szCs w:val="28"/>
        </w:rPr>
      </w:pPr>
      <w:r w:rsidRPr="007D2071">
        <w:rPr>
          <w:rFonts w:ascii="宋体" w:hAnsi="宋体" w:cs="宋体" w:hint="eastAsia"/>
          <w:sz w:val="28"/>
          <w:szCs w:val="28"/>
        </w:rPr>
        <w:t>注：参赛者须在下列“规定曲目”中任选</w:t>
      </w:r>
      <w:r w:rsidRPr="007D2071">
        <w:rPr>
          <w:rFonts w:ascii="宋体" w:hAnsi="宋体" w:cs="宋体"/>
          <w:sz w:val="28"/>
          <w:szCs w:val="28"/>
        </w:rPr>
        <w:t>1</w:t>
      </w:r>
      <w:r w:rsidRPr="007D2071">
        <w:rPr>
          <w:rFonts w:ascii="宋体" w:hAnsi="宋体" w:cs="宋体" w:hint="eastAsia"/>
          <w:sz w:val="28"/>
          <w:szCs w:val="28"/>
        </w:rPr>
        <w:t>曲参赛；“自选曲目”建议可供参考；同一选手可采用相同曲目进行各阶段比赛。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㈠规定曲目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、可在《车尔尼钢琴初步教程作品</w:t>
      </w:r>
      <w:r>
        <w:rPr>
          <w:rFonts w:ascii="宋体" w:hAnsi="宋体" w:cs="宋体"/>
          <w:sz w:val="28"/>
          <w:szCs w:val="28"/>
        </w:rPr>
        <w:t>599</w:t>
      </w:r>
      <w:r>
        <w:rPr>
          <w:rFonts w:ascii="宋体" w:hAnsi="宋体" w:cs="宋体" w:hint="eastAsia"/>
          <w:sz w:val="28"/>
          <w:szCs w:val="28"/>
        </w:rPr>
        <w:t>》第</w:t>
      </w:r>
      <w:r>
        <w:rPr>
          <w:rFonts w:ascii="宋体" w:hAnsi="宋体" w:cs="宋体"/>
          <w:sz w:val="28"/>
          <w:szCs w:val="28"/>
        </w:rPr>
        <w:t>29-100</w:t>
      </w:r>
      <w:r>
        <w:rPr>
          <w:rFonts w:ascii="宋体" w:hAnsi="宋体" w:cs="宋体" w:hint="eastAsia"/>
          <w:sz w:val="28"/>
          <w:szCs w:val="28"/>
        </w:rPr>
        <w:t>条中任选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曲参赛（不包括其中的第</w:t>
      </w:r>
      <w:r>
        <w:rPr>
          <w:rFonts w:ascii="宋体" w:hAnsi="宋体" w:cs="宋体"/>
          <w:sz w:val="28"/>
          <w:szCs w:val="28"/>
        </w:rPr>
        <w:t>31-35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52-54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58</w:t>
      </w:r>
      <w:r>
        <w:rPr>
          <w:rFonts w:ascii="宋体" w:hAnsi="宋体" w:cs="宋体" w:hint="eastAsia"/>
          <w:sz w:val="28"/>
          <w:szCs w:val="28"/>
        </w:rPr>
        <w:t>条）；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、可在《车尔尼钢琴流畅练习曲作品</w:t>
      </w:r>
      <w:r>
        <w:rPr>
          <w:rFonts w:ascii="宋体" w:hAnsi="宋体" w:cs="宋体"/>
          <w:sz w:val="28"/>
          <w:szCs w:val="28"/>
        </w:rPr>
        <w:t>849</w:t>
      </w:r>
      <w:r>
        <w:rPr>
          <w:rFonts w:ascii="宋体" w:hAnsi="宋体" w:cs="宋体" w:hint="eastAsia"/>
          <w:sz w:val="28"/>
          <w:szCs w:val="28"/>
        </w:rPr>
        <w:t>》中任选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曲参赛。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㈡自选曲目建议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、《钢琴基础教程第一册》之《土耳其进行曲》、《四小天鹅舞曲》、《风笛舞曲》中的任何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、《钢琴基础教程第二册》之《北风吹》、《再会》、《草原上的故事》、《</w:t>
      </w:r>
      <w:r>
        <w:rPr>
          <w:rFonts w:ascii="宋体" w:hAnsi="宋体" w:cs="宋体"/>
          <w:sz w:val="28"/>
          <w:szCs w:val="28"/>
        </w:rPr>
        <w:t>F</w:t>
      </w:r>
      <w:r>
        <w:rPr>
          <w:rFonts w:ascii="宋体" w:hAnsi="宋体" w:cs="宋体" w:hint="eastAsia"/>
          <w:sz w:val="28"/>
          <w:szCs w:val="28"/>
        </w:rPr>
        <w:t>大调小奏鸣曲》中的任何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、《钢琴基础教程第三册》之《威尼斯船歌》、《重归苏莲托》、《献给爱丽丝》、《红头绳》、《民间音乐风》、《欢乐的牧童》、《桂花开放幸福来》、《谐谑曲》、《意大利波尔卡》中的任何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Pr="007D2071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 w:rsidRPr="007D2071">
        <w:rPr>
          <w:rFonts w:ascii="宋体" w:hAnsi="宋体" w:cs="宋体" w:hint="eastAsia"/>
          <w:sz w:val="28"/>
          <w:szCs w:val="28"/>
        </w:rPr>
        <w:t>《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全国钢琴演奏考级作品集》之第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至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级复调、奏鸣曲、乐曲中的任何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Pr="007D2071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、《巴赫初级钢琴曲集》中的任何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、《小奏鸣曲集》中的任何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曲。</w:t>
      </w: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1.2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Default="00EC3B87" w:rsidP="007D2071">
      <w:pPr>
        <w:pStyle w:val="NormalWeb"/>
        <w:widowControl/>
        <w:spacing w:beforeAutospacing="0" w:afterAutospacing="0" w:line="360" w:lineRule="auto"/>
        <w:ind w:firstLineChars="200" w:firstLine="31680"/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上海老年业余高级程度钢琴赛规定曲目和建议自选曲目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Pr="00354CF2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宋体"/>
          <w:sz w:val="28"/>
          <w:szCs w:val="28"/>
        </w:rPr>
      </w:pPr>
      <w:r w:rsidRPr="00354CF2">
        <w:rPr>
          <w:rFonts w:ascii="宋体" w:hAnsi="宋体" w:cs="宋体" w:hint="eastAsia"/>
          <w:sz w:val="28"/>
          <w:szCs w:val="28"/>
        </w:rPr>
        <w:t>注：参赛者须在下列“规定曲目”中任选</w:t>
      </w:r>
      <w:r w:rsidRPr="00354CF2">
        <w:rPr>
          <w:rFonts w:ascii="宋体" w:hAnsi="宋体" w:cs="宋体"/>
          <w:sz w:val="28"/>
          <w:szCs w:val="28"/>
        </w:rPr>
        <w:t>1</w:t>
      </w:r>
      <w:r w:rsidRPr="00354CF2">
        <w:rPr>
          <w:rFonts w:ascii="宋体" w:hAnsi="宋体" w:cs="宋体" w:hint="eastAsia"/>
          <w:sz w:val="28"/>
          <w:szCs w:val="28"/>
        </w:rPr>
        <w:t>曲参赛；“自选曲目建议”可供参考；同一选手可采用相同曲目进行各阶段比赛。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㈠规定曲目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、《车尔尼</w:t>
      </w:r>
      <w:r>
        <w:rPr>
          <w:rFonts w:ascii="宋体" w:hAnsi="宋体" w:cs="宋体"/>
          <w:sz w:val="28"/>
          <w:szCs w:val="28"/>
        </w:rPr>
        <w:t>299</w:t>
      </w:r>
      <w:r>
        <w:rPr>
          <w:rFonts w:ascii="宋体" w:hAnsi="宋体" w:cs="宋体" w:hint="eastAsia"/>
          <w:sz w:val="28"/>
          <w:szCs w:val="28"/>
        </w:rPr>
        <w:t>钢琴快速练习曲》（不包括第</w:t>
      </w:r>
      <w:r>
        <w:rPr>
          <w:rFonts w:ascii="宋体" w:hAnsi="宋体" w:cs="宋体"/>
          <w:sz w:val="28"/>
          <w:szCs w:val="28"/>
        </w:rPr>
        <w:t>1-4</w:t>
      </w:r>
      <w:r>
        <w:rPr>
          <w:rFonts w:ascii="宋体" w:hAnsi="宋体" w:cs="宋体" w:hint="eastAsia"/>
          <w:sz w:val="28"/>
          <w:szCs w:val="28"/>
        </w:rPr>
        <w:t>条）；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、《车尔尼钢琴练习曲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首作品</w:t>
      </w:r>
      <w:r>
        <w:rPr>
          <w:rFonts w:ascii="宋体" w:hAnsi="宋体" w:cs="宋体"/>
          <w:sz w:val="28"/>
          <w:szCs w:val="28"/>
        </w:rPr>
        <w:t>740</w:t>
      </w:r>
      <w:r>
        <w:rPr>
          <w:rFonts w:ascii="宋体" w:hAnsi="宋体" w:cs="宋体" w:hint="eastAsia"/>
          <w:sz w:val="28"/>
          <w:szCs w:val="28"/>
        </w:rPr>
        <w:t>》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㈡自选曲目建议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、《全国钢琴演奏考级作品集》之第</w:t>
      </w:r>
      <w:r>
        <w:rPr>
          <w:rFonts w:ascii="宋体" w:hAnsi="宋体" w:cs="宋体"/>
          <w:sz w:val="28"/>
          <w:szCs w:val="28"/>
        </w:rPr>
        <w:t>7-10</w:t>
      </w:r>
      <w:r>
        <w:rPr>
          <w:rFonts w:ascii="宋体" w:hAnsi="宋体" w:cs="宋体" w:hint="eastAsia"/>
          <w:sz w:val="28"/>
          <w:szCs w:val="28"/>
        </w:rPr>
        <w:t>级复调、奏鸣曲、乐曲中的任何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、《钢琴基础教程第四册》之《</w:t>
      </w:r>
      <w:r>
        <w:rPr>
          <w:rFonts w:cs="宋体" w:hint="eastAsia"/>
          <w:sz w:val="28"/>
          <w:szCs w:val="28"/>
        </w:rPr>
        <w:t>彩云追月》、《阿拉伯风》、《夜莺》、《乌苏里船歌》、《陕北民歌主题变奏曲》、《湖南花鼓》、《瞬间幻影》、《采茶扑蝶》、《牧童短笛》、《幻想曲》、《阿尔曼德》中的任何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曲；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巴赫二部创意曲集》、《格里格钢琴抒情小品》、门德尔松《无词歌》、舒伯特《即兴曲》、柴可夫斯基《四季》、《莫扎特奏鸣曲》、《贝多芬奏鸣曲》（第一或第三乐章）、《肖邦练习曲》、李斯特《帕格尼尼练习曲》、拉赫玛尼诺夫《钢琴音画练习曲》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曲；</w:t>
      </w:r>
    </w:p>
    <w:p w:rsidR="00EC3B87" w:rsidRDefault="00EC3B87" w:rsidP="007D2071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《中国钢琴百年经典》之《夕阳箫鼓》（黎英海曲）、《百鸟朝凤》（王建中曲）、《流水》（朱践耳曲）、《谷粒飞舞》（孙以强曲）、《松花江上》（崔世光曲）、《浏阳河》（王建中曲）、孙以强《春舞》、《皮黄》（张朝曲）、《思恋》（但昭义曲）、《“茉莉花”幻想曲》（储望华曲）中的任何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曲。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sz w:val="28"/>
          <w:szCs w:val="28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both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1.3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b/>
          <w:bCs/>
          <w:sz w:val="30"/>
          <w:szCs w:val="30"/>
        </w:rPr>
      </w:pPr>
    </w:p>
    <w:p w:rsidR="00EC3B87" w:rsidRDefault="00EC3B87">
      <w:pPr>
        <w:pStyle w:val="NormalWeb"/>
        <w:widowControl/>
        <w:spacing w:beforeAutospacing="0" w:afterAutospacing="0" w:line="360" w:lineRule="auto"/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“陪长辈弹经典”组合钢琴展示曲目建议</w:t>
      </w:r>
    </w:p>
    <w:p w:rsidR="00EC3B87" w:rsidRDefault="00EC3B87">
      <w:pPr>
        <w:pStyle w:val="NormalWeb"/>
        <w:widowControl/>
        <w:spacing w:beforeAutospacing="0" w:afterAutospacing="0" w:line="480" w:lineRule="exact"/>
        <w:jc w:val="both"/>
        <w:rPr>
          <w:rFonts w:ascii="宋体" w:cs="Times New Roman"/>
          <w:b/>
          <w:bCs/>
          <w:sz w:val="28"/>
          <w:szCs w:val="28"/>
        </w:rPr>
      </w:pPr>
    </w:p>
    <w:p w:rsidR="00EC3B87" w:rsidRPr="00354CF2" w:rsidRDefault="00EC3B87" w:rsidP="00354CF2">
      <w:pPr>
        <w:pStyle w:val="NormalWeb"/>
        <w:widowControl/>
        <w:spacing w:beforeAutospacing="0" w:afterAutospacing="0" w:line="480" w:lineRule="exact"/>
        <w:ind w:firstLineChars="200" w:firstLine="31680"/>
        <w:jc w:val="both"/>
        <w:rPr>
          <w:rFonts w:ascii="宋体" w:cs="宋体"/>
          <w:sz w:val="28"/>
          <w:szCs w:val="28"/>
        </w:rPr>
      </w:pPr>
      <w:r w:rsidRPr="00354CF2">
        <w:rPr>
          <w:rFonts w:ascii="宋体" w:hAnsi="宋体" w:cs="宋体" w:hint="eastAsia"/>
          <w:sz w:val="28"/>
          <w:szCs w:val="28"/>
        </w:rPr>
        <w:t>注：参赛者可在下列曲集中任选</w:t>
      </w:r>
      <w:r w:rsidRPr="00354CF2">
        <w:rPr>
          <w:rFonts w:ascii="宋体" w:hAnsi="宋体" w:cs="宋体"/>
          <w:sz w:val="28"/>
          <w:szCs w:val="28"/>
        </w:rPr>
        <w:t>2</w:t>
      </w:r>
      <w:r w:rsidRPr="00354CF2">
        <w:rPr>
          <w:rFonts w:ascii="宋体" w:hAnsi="宋体" w:cs="宋体" w:hint="eastAsia"/>
          <w:sz w:val="28"/>
          <w:szCs w:val="28"/>
        </w:rPr>
        <w:t>首或在其他相近程度曲集中自选</w:t>
      </w:r>
      <w:r w:rsidRPr="00354CF2">
        <w:rPr>
          <w:rFonts w:ascii="宋体" w:hAnsi="宋体" w:cs="宋体"/>
          <w:sz w:val="28"/>
          <w:szCs w:val="28"/>
        </w:rPr>
        <w:t>2</w:t>
      </w:r>
      <w:r w:rsidRPr="00354CF2">
        <w:rPr>
          <w:rFonts w:ascii="宋体" w:hAnsi="宋体" w:cs="宋体" w:hint="eastAsia"/>
          <w:sz w:val="28"/>
          <w:szCs w:val="28"/>
        </w:rPr>
        <w:t>首进行展示；同组选手可采用相同曲目进行各阶段展示。</w:t>
      </w:r>
    </w:p>
    <w:p w:rsidR="00EC3B87" w:rsidRDefault="00EC3B87" w:rsidP="007D2071">
      <w:pPr>
        <w:pStyle w:val="NormalWeb"/>
        <w:widowControl/>
        <w:spacing w:beforeAutospacing="0" w:afterAutospacing="0" w:line="360" w:lineRule="auto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、上海音乐出版社《钢琴四手联弹经典必弹》、《钢琴四手联弹名曲集》；</w:t>
      </w:r>
    </w:p>
    <w:p w:rsidR="00EC3B87" w:rsidRDefault="00EC3B87" w:rsidP="007D2071">
      <w:pPr>
        <w:pStyle w:val="NormalWeb"/>
        <w:widowControl/>
        <w:spacing w:beforeAutospacing="0" w:afterAutospacing="0" w:line="360" w:lineRule="auto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、苏州大学出版社《奇妙的调性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ascii="宋体" w:hAnsi="宋体" w:cs="宋体" w:hint="eastAsia"/>
          <w:sz w:val="28"/>
          <w:szCs w:val="28"/>
        </w:rPr>
        <w:t>钢琴四手联弹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首》；</w:t>
      </w:r>
    </w:p>
    <w:p w:rsidR="00EC3B87" w:rsidRDefault="00EC3B87" w:rsidP="00337C5A">
      <w:pPr>
        <w:ind w:firstLineChars="200" w:firstLine="31680"/>
        <w:rPr>
          <w:rFonts w:cs="Times New Roman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、西安师范大学出版社《钢琴经典四手联弹作品图书馆》、《柴可夫斯基天鹅湖》、《辛迪应用钢琴四手联弹教程》等</w:t>
      </w:r>
    </w:p>
    <w:sectPr w:rsidR="00EC3B87" w:rsidSect="0040725E">
      <w:footerReference w:type="default" r:id="rId6"/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87" w:rsidRDefault="00EC3B87" w:rsidP="004072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3B87" w:rsidRDefault="00EC3B87" w:rsidP="004072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87" w:rsidRDefault="00EC3B8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EC3B87" w:rsidRDefault="00EC3B8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87" w:rsidRDefault="00EC3B87" w:rsidP="004072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3B87" w:rsidRDefault="00EC3B87" w:rsidP="004072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CB3280"/>
    <w:rsid w:val="00041F25"/>
    <w:rsid w:val="0004347B"/>
    <w:rsid w:val="0019207F"/>
    <w:rsid w:val="001B629D"/>
    <w:rsid w:val="00222408"/>
    <w:rsid w:val="00306867"/>
    <w:rsid w:val="00333381"/>
    <w:rsid w:val="00337C5A"/>
    <w:rsid w:val="00354CF2"/>
    <w:rsid w:val="003730C1"/>
    <w:rsid w:val="003B4DF6"/>
    <w:rsid w:val="003B57FE"/>
    <w:rsid w:val="003E66B7"/>
    <w:rsid w:val="0040725E"/>
    <w:rsid w:val="004A1D70"/>
    <w:rsid w:val="004F1EAC"/>
    <w:rsid w:val="005935B8"/>
    <w:rsid w:val="005A42E5"/>
    <w:rsid w:val="006934F7"/>
    <w:rsid w:val="006A3AC3"/>
    <w:rsid w:val="00760ECA"/>
    <w:rsid w:val="007D2071"/>
    <w:rsid w:val="00835DD2"/>
    <w:rsid w:val="00883D7F"/>
    <w:rsid w:val="00A144E8"/>
    <w:rsid w:val="00A31644"/>
    <w:rsid w:val="00AC70FF"/>
    <w:rsid w:val="00AE405C"/>
    <w:rsid w:val="00B56D6F"/>
    <w:rsid w:val="00BA6B5B"/>
    <w:rsid w:val="00BB034C"/>
    <w:rsid w:val="00BD05E4"/>
    <w:rsid w:val="00C14048"/>
    <w:rsid w:val="00C17EF1"/>
    <w:rsid w:val="00C53DB6"/>
    <w:rsid w:val="00CD5993"/>
    <w:rsid w:val="00CF7B6B"/>
    <w:rsid w:val="00D45887"/>
    <w:rsid w:val="00D71311"/>
    <w:rsid w:val="00EB0AA8"/>
    <w:rsid w:val="00EC3B87"/>
    <w:rsid w:val="00F334C9"/>
    <w:rsid w:val="00F94429"/>
    <w:rsid w:val="09D50824"/>
    <w:rsid w:val="09D86CD1"/>
    <w:rsid w:val="0FEA3CB4"/>
    <w:rsid w:val="6D535020"/>
    <w:rsid w:val="7DCB3280"/>
    <w:rsid w:val="7DD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5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25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0725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0725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A1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1D7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5</cp:revision>
  <dcterms:created xsi:type="dcterms:W3CDTF">2018-04-06T13:18:00Z</dcterms:created>
  <dcterms:modified xsi:type="dcterms:W3CDTF">2018-04-08T02:30:00Z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